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E0" w:rsidRPr="00F50F69" w:rsidRDefault="00A23B3C" w:rsidP="002C72B2">
      <w:pPr>
        <w:spacing w:before="120" w:after="0" w:line="240" w:lineRule="auto"/>
        <w:jc w:val="center"/>
        <w:rPr>
          <w:rFonts w:ascii="Times New Roman" w:hAnsi="Times New Roman" w:cs="Times New Roman"/>
          <w:b/>
          <w:sz w:val="28"/>
          <w:szCs w:val="28"/>
        </w:rPr>
      </w:pPr>
      <w:bookmarkStart w:id="0" w:name="_GoBack"/>
      <w:bookmarkEnd w:id="0"/>
      <w:r w:rsidRPr="00F50F69">
        <w:rPr>
          <w:rFonts w:ascii="Times New Roman" w:hAnsi="Times New Roman" w:cs="Times New Roman"/>
          <w:b/>
          <w:sz w:val="28"/>
          <w:szCs w:val="28"/>
        </w:rPr>
        <w:t>Phụ lục</w:t>
      </w:r>
    </w:p>
    <w:p w:rsidR="00A23B3C" w:rsidRPr="002C72B2" w:rsidRDefault="00A23B3C" w:rsidP="002C72B2">
      <w:pPr>
        <w:spacing w:before="120" w:after="0" w:line="240" w:lineRule="auto"/>
        <w:jc w:val="center"/>
        <w:rPr>
          <w:rFonts w:ascii="Times New Roman" w:hAnsi="Times New Roman" w:cs="Times New Roman"/>
          <w:i/>
          <w:sz w:val="28"/>
          <w:szCs w:val="28"/>
        </w:rPr>
      </w:pPr>
      <w:r w:rsidRPr="002C72B2">
        <w:rPr>
          <w:rFonts w:ascii="Times New Roman" w:hAnsi="Times New Roman" w:cs="Times New Roman"/>
          <w:i/>
          <w:sz w:val="28"/>
          <w:szCs w:val="28"/>
        </w:rPr>
        <w:t>(Kèm theo Báo cáo số         /BC-SNNMT ngày      /</w:t>
      </w:r>
      <w:r w:rsidR="00071BFC">
        <w:rPr>
          <w:rFonts w:ascii="Times New Roman" w:hAnsi="Times New Roman" w:cs="Times New Roman"/>
          <w:i/>
          <w:sz w:val="28"/>
          <w:szCs w:val="28"/>
          <w:lang w:val="vi-VN"/>
        </w:rPr>
        <w:t>10</w:t>
      </w:r>
      <w:r w:rsidRPr="002C72B2">
        <w:rPr>
          <w:rFonts w:ascii="Times New Roman" w:hAnsi="Times New Roman" w:cs="Times New Roman"/>
          <w:i/>
          <w:sz w:val="28"/>
          <w:szCs w:val="28"/>
        </w:rPr>
        <w:t>/2025 của Sở Nông nghiệp và Môi trường)</w:t>
      </w:r>
    </w:p>
    <w:p w:rsidR="00A23B3C" w:rsidRDefault="002C72B2" w:rsidP="002C72B2">
      <w:pPr>
        <w:spacing w:before="120" w:after="0" w:line="240" w:lineRule="auto"/>
        <w:ind w:firstLine="720"/>
        <w:rPr>
          <w:rFonts w:ascii="Times New Roman" w:hAnsi="Times New Roman" w:cs="Times New Roman"/>
          <w:sz w:val="28"/>
          <w:szCs w:val="28"/>
        </w:rPr>
      </w:pPr>
      <w:r w:rsidRPr="000F0FFC">
        <w:rPr>
          <w:rFonts w:ascii="Times New Roman" w:hAnsi="Times New Roman" w:cs="Times New Roman"/>
          <w:b/>
          <w:sz w:val="28"/>
          <w:szCs w:val="28"/>
        </w:rPr>
        <w:t>1. Chủ trương, đường lối của Đảng có liên quan đến dự thảo</w:t>
      </w:r>
      <w:r>
        <w:rPr>
          <w:rFonts w:ascii="Times New Roman" w:hAnsi="Times New Roman" w:cs="Times New Roman"/>
          <w:sz w:val="28"/>
          <w:szCs w:val="28"/>
        </w:rPr>
        <w:t>: Không có</w:t>
      </w:r>
    </w:p>
    <w:p w:rsidR="002C72B2" w:rsidRPr="000F0FFC" w:rsidRDefault="002C72B2" w:rsidP="002C72B2">
      <w:pPr>
        <w:spacing w:before="120" w:after="0" w:line="240" w:lineRule="auto"/>
        <w:ind w:firstLine="720"/>
        <w:rPr>
          <w:rFonts w:ascii="Times New Roman" w:hAnsi="Times New Roman" w:cs="Times New Roman"/>
          <w:b/>
          <w:sz w:val="28"/>
          <w:szCs w:val="28"/>
        </w:rPr>
      </w:pPr>
      <w:r w:rsidRPr="000F0FFC">
        <w:rPr>
          <w:rFonts w:ascii="Times New Roman" w:hAnsi="Times New Roman" w:cs="Times New Roman"/>
          <w:b/>
          <w:sz w:val="28"/>
          <w:szCs w:val="28"/>
        </w:rPr>
        <w:t>2. Văn bản quy phạm pháp luật có liên quan đến dự thảo</w:t>
      </w:r>
    </w:p>
    <w:tbl>
      <w:tblPr>
        <w:tblStyle w:val="TableGrid"/>
        <w:tblW w:w="0" w:type="auto"/>
        <w:tblLook w:val="04A0" w:firstRow="1" w:lastRow="0" w:firstColumn="1" w:lastColumn="0" w:noHBand="0" w:noVBand="1"/>
      </w:tblPr>
      <w:tblGrid>
        <w:gridCol w:w="1696"/>
        <w:gridCol w:w="4395"/>
        <w:gridCol w:w="1559"/>
        <w:gridCol w:w="1700"/>
      </w:tblGrid>
      <w:tr w:rsidR="003B1D03" w:rsidRPr="00071BFC" w:rsidTr="00387ABA">
        <w:tc>
          <w:tcPr>
            <w:tcW w:w="1696" w:type="dxa"/>
          </w:tcPr>
          <w:p w:rsidR="003B1D03" w:rsidRPr="00071BFC" w:rsidRDefault="003B1D03" w:rsidP="003B1D03">
            <w:pPr>
              <w:spacing w:before="120"/>
              <w:jc w:val="center"/>
              <w:rPr>
                <w:rFonts w:ascii="Times New Roman" w:hAnsi="Times New Roman" w:cs="Times New Roman"/>
                <w:b/>
                <w:sz w:val="26"/>
                <w:szCs w:val="26"/>
              </w:rPr>
            </w:pPr>
            <w:r w:rsidRPr="00071BFC">
              <w:rPr>
                <w:rFonts w:ascii="Times New Roman" w:hAnsi="Times New Roman" w:cs="Times New Roman"/>
                <w:b/>
                <w:sz w:val="26"/>
                <w:szCs w:val="26"/>
              </w:rPr>
              <w:t>QUY ĐỊNH CỦA DỰ THẢO VĂN BẢN</w:t>
            </w:r>
          </w:p>
        </w:tc>
        <w:tc>
          <w:tcPr>
            <w:tcW w:w="4395" w:type="dxa"/>
          </w:tcPr>
          <w:p w:rsidR="003B1D03" w:rsidRPr="00071BFC" w:rsidRDefault="003B1D03" w:rsidP="003B1D03">
            <w:pPr>
              <w:spacing w:before="120"/>
              <w:jc w:val="center"/>
              <w:rPr>
                <w:rFonts w:ascii="Times New Roman" w:hAnsi="Times New Roman" w:cs="Times New Roman"/>
                <w:b/>
                <w:sz w:val="26"/>
                <w:szCs w:val="26"/>
              </w:rPr>
            </w:pPr>
            <w:r w:rsidRPr="00071BFC">
              <w:rPr>
                <w:rFonts w:ascii="Times New Roman" w:hAnsi="Times New Roman" w:cs="Times New Roman"/>
                <w:b/>
                <w:sz w:val="26"/>
                <w:szCs w:val="26"/>
              </w:rPr>
              <w:t>QUY ĐỊNH CỦA PHÁP LUẬT HIỆN HÀNH CÓ LIÊN QUAN</w:t>
            </w:r>
          </w:p>
        </w:tc>
        <w:tc>
          <w:tcPr>
            <w:tcW w:w="1559" w:type="dxa"/>
          </w:tcPr>
          <w:p w:rsidR="003B1D03" w:rsidRPr="00071BFC" w:rsidRDefault="003B1D03" w:rsidP="003B1D03">
            <w:pPr>
              <w:spacing w:before="120"/>
              <w:jc w:val="center"/>
              <w:rPr>
                <w:rFonts w:ascii="Times New Roman" w:hAnsi="Times New Roman" w:cs="Times New Roman"/>
                <w:b/>
                <w:sz w:val="26"/>
                <w:szCs w:val="26"/>
              </w:rPr>
            </w:pPr>
            <w:r w:rsidRPr="00071BFC">
              <w:rPr>
                <w:rFonts w:ascii="Times New Roman" w:hAnsi="Times New Roman" w:cs="Times New Roman"/>
                <w:b/>
                <w:sz w:val="26"/>
                <w:szCs w:val="26"/>
              </w:rPr>
              <w:t>ĐÁNH GIÁ (Tính hợp hiến, tính hợp. tính thống nhất)</w:t>
            </w:r>
          </w:p>
        </w:tc>
        <w:tc>
          <w:tcPr>
            <w:tcW w:w="1700" w:type="dxa"/>
          </w:tcPr>
          <w:p w:rsidR="003B1D03" w:rsidRPr="00071BFC" w:rsidRDefault="003B1D03" w:rsidP="003B1D03">
            <w:pPr>
              <w:spacing w:before="120"/>
              <w:jc w:val="center"/>
              <w:rPr>
                <w:rFonts w:ascii="Times New Roman" w:hAnsi="Times New Roman" w:cs="Times New Roman"/>
                <w:b/>
                <w:sz w:val="26"/>
                <w:szCs w:val="26"/>
              </w:rPr>
            </w:pPr>
            <w:r w:rsidRPr="00071BFC">
              <w:rPr>
                <w:rFonts w:ascii="Times New Roman" w:hAnsi="Times New Roman" w:cs="Times New Roman"/>
                <w:b/>
                <w:sz w:val="26"/>
                <w:szCs w:val="26"/>
              </w:rPr>
              <w:t>ĐỀ XUẤT XỬ LÝ</w:t>
            </w:r>
          </w:p>
        </w:tc>
      </w:tr>
      <w:tr w:rsidR="003B1D03" w:rsidRPr="00071BFC" w:rsidTr="00387ABA">
        <w:tc>
          <w:tcPr>
            <w:tcW w:w="1696" w:type="dxa"/>
          </w:tcPr>
          <w:p w:rsidR="00071BFC" w:rsidRPr="00071BFC" w:rsidRDefault="00071BFC" w:rsidP="00071BFC">
            <w:pPr>
              <w:jc w:val="both"/>
              <w:rPr>
                <w:rFonts w:ascii="Times New Roman" w:eastAsia="Times New Roman" w:hAnsi="Times New Roman"/>
                <w:color w:val="000000" w:themeColor="text1"/>
                <w:sz w:val="26"/>
                <w:szCs w:val="26"/>
                <w:lang w:eastAsia="vi-VN"/>
              </w:rPr>
            </w:pPr>
            <w:r w:rsidRPr="00071BFC">
              <w:rPr>
                <w:rFonts w:ascii="Times New Roman" w:eastAsia="Times New Roman" w:hAnsi="Times New Roman"/>
                <w:color w:val="000000" w:themeColor="text1"/>
                <w:sz w:val="26"/>
                <w:szCs w:val="26"/>
                <w:lang w:eastAsia="vi-VN"/>
              </w:rPr>
              <w:t xml:space="preserve">Nghị quyết Bảng giá đất áp dụng từ ngày 01 tháng 01 năm 2026 trên địa bàn </w:t>
            </w:r>
          </w:p>
          <w:p w:rsidR="00071BFC" w:rsidRPr="00071BFC" w:rsidRDefault="00071BFC" w:rsidP="00071BFC">
            <w:pPr>
              <w:jc w:val="both"/>
              <w:rPr>
                <w:rFonts w:ascii="Times New Roman" w:eastAsia="Times New Roman" w:hAnsi="Times New Roman"/>
                <w:color w:val="000000" w:themeColor="text1"/>
                <w:sz w:val="26"/>
                <w:szCs w:val="26"/>
                <w:lang w:eastAsia="vi-VN"/>
              </w:rPr>
            </w:pPr>
            <w:r w:rsidRPr="00071BFC">
              <w:rPr>
                <w:rFonts w:ascii="Times New Roman" w:eastAsia="Times New Roman" w:hAnsi="Times New Roman"/>
                <w:color w:val="000000" w:themeColor="text1"/>
                <w:sz w:val="26"/>
                <w:szCs w:val="26"/>
                <w:lang w:eastAsia="vi-VN"/>
              </w:rPr>
              <w:t>thành phố Đà Nẵng (đối với địa bàn thành phố Đà Nẵng cũ)</w:t>
            </w:r>
          </w:p>
          <w:p w:rsidR="003B1D03" w:rsidRPr="00071BFC" w:rsidRDefault="003B1D03" w:rsidP="006F10B8">
            <w:pPr>
              <w:spacing w:before="120"/>
              <w:jc w:val="both"/>
              <w:rPr>
                <w:rFonts w:ascii="Times New Roman" w:hAnsi="Times New Roman" w:cs="Times New Roman"/>
                <w:sz w:val="26"/>
                <w:szCs w:val="26"/>
              </w:rPr>
            </w:pPr>
          </w:p>
        </w:tc>
        <w:tc>
          <w:tcPr>
            <w:tcW w:w="4395" w:type="dxa"/>
          </w:tcPr>
          <w:p w:rsidR="00071BFC" w:rsidRPr="00387ABA" w:rsidRDefault="00071BFC" w:rsidP="00387ABA">
            <w:pPr>
              <w:pBdr>
                <w:top w:val="nil"/>
                <w:left w:val="nil"/>
                <w:bottom w:val="nil"/>
                <w:right w:val="nil"/>
                <w:between w:val="nil"/>
              </w:pBdr>
              <w:spacing w:before="120"/>
              <w:ind w:firstLine="284"/>
              <w:jc w:val="both"/>
              <w:rPr>
                <w:rFonts w:ascii="Times New Roman" w:eastAsia="Times New Roman" w:hAnsi="Times New Roman"/>
                <w:color w:val="000000" w:themeColor="text1"/>
                <w:sz w:val="26"/>
                <w:szCs w:val="26"/>
                <w:lang w:eastAsia="vi-VN"/>
              </w:rPr>
            </w:pPr>
            <w:bookmarkStart w:id="1" w:name="dieu_17"/>
            <w:r w:rsidRPr="00387ABA">
              <w:rPr>
                <w:rFonts w:ascii="Times New Roman" w:eastAsia="Times New Roman" w:hAnsi="Times New Roman"/>
                <w:color w:val="000000" w:themeColor="text1"/>
                <w:sz w:val="26"/>
                <w:szCs w:val="26"/>
                <w:lang w:eastAsia="vi-VN"/>
              </w:rPr>
              <w:t>- Theo quy định tại khoản 3 Điều 159 Luật Đất đai năm 2024 như sau:</w:t>
            </w:r>
          </w:p>
          <w:p w:rsidR="00071BFC" w:rsidRPr="00387ABA" w:rsidRDefault="00071BFC" w:rsidP="00387ABA">
            <w:pPr>
              <w:pBdr>
                <w:top w:val="nil"/>
                <w:left w:val="nil"/>
                <w:bottom w:val="nil"/>
                <w:right w:val="nil"/>
                <w:between w:val="nil"/>
              </w:pBdr>
              <w:spacing w:before="120"/>
              <w:ind w:firstLine="284"/>
              <w:jc w:val="both"/>
              <w:rPr>
                <w:rFonts w:ascii="Times New Roman Italic" w:eastAsia="Times New Roman" w:hAnsi="Times New Roman Italic"/>
                <w:i/>
                <w:color w:val="000000" w:themeColor="text1"/>
                <w:spacing w:val="-6"/>
                <w:sz w:val="26"/>
                <w:szCs w:val="26"/>
                <w:lang w:eastAsia="vi-VN"/>
              </w:rPr>
            </w:pPr>
            <w:r w:rsidRPr="00387ABA">
              <w:rPr>
                <w:rFonts w:ascii="Times New Roman Italic" w:eastAsia="Times New Roman" w:hAnsi="Times New Roman Italic"/>
                <w:i/>
                <w:color w:val="000000" w:themeColor="text1"/>
                <w:spacing w:val="-6"/>
                <w:sz w:val="26"/>
                <w:szCs w:val="26"/>
                <w:lang w:eastAsia="vi-VN"/>
              </w:rPr>
              <w:t>“</w:t>
            </w:r>
            <w:bookmarkStart w:id="2" w:name="khoan_3_159"/>
            <w:r w:rsidRPr="00387ABA">
              <w:rPr>
                <w:rFonts w:ascii="Times New Roman Italic" w:eastAsia="Times New Roman" w:hAnsi="Times New Roman Italic"/>
                <w:i/>
                <w:color w:val="000000" w:themeColor="text1"/>
                <w:spacing w:val="-6"/>
                <w:sz w:val="26"/>
                <w:szCs w:val="26"/>
                <w:lang w:eastAsia="vi-VN"/>
              </w:rPr>
              <w:t>3. Ủy ban nhân dân cấp tỉnh xây dựng, trình Hội đồng nhân dân cùng cấp quyết định bảng giá đất lần đầu để công bố và áp dụng từ ngày 01 tháng 01 năm 2026</w:t>
            </w:r>
            <w:bookmarkEnd w:id="2"/>
            <w:r w:rsidRPr="00387ABA">
              <w:rPr>
                <w:rFonts w:ascii="Times New Roman Italic" w:eastAsia="Times New Roman" w:hAnsi="Times New Roman Italic"/>
                <w:i/>
                <w:color w:val="000000" w:themeColor="text1"/>
                <w:spacing w:val="-6"/>
                <w:sz w:val="26"/>
                <w:szCs w:val="26"/>
                <w:lang w:eastAsia="vi-VN"/>
              </w:rPr>
              <w:t>”</w:t>
            </w:r>
          </w:p>
          <w:p w:rsidR="00387ABA" w:rsidRPr="00387ABA" w:rsidRDefault="00387ABA" w:rsidP="00387ABA">
            <w:pPr>
              <w:spacing w:before="120"/>
              <w:ind w:firstLine="284"/>
              <w:jc w:val="both"/>
              <w:rPr>
                <w:rFonts w:ascii="Times New Roman" w:hAnsi="Times New Roman"/>
                <w:color w:val="000000" w:themeColor="text1"/>
                <w:sz w:val="26"/>
                <w:szCs w:val="26"/>
              </w:rPr>
            </w:pPr>
            <w:r w:rsidRPr="00387ABA">
              <w:rPr>
                <w:rFonts w:ascii="Times New Roman" w:hAnsi="Times New Roman"/>
                <w:color w:val="000000" w:themeColor="text1"/>
                <w:sz w:val="26"/>
                <w:szCs w:val="26"/>
              </w:rPr>
              <w:t>- Theo quy định tại khoản 3 Điều 111 Luật Đất đai 2024 quy định:</w:t>
            </w:r>
          </w:p>
          <w:p w:rsidR="00387ABA" w:rsidRPr="00387ABA" w:rsidRDefault="00387ABA" w:rsidP="00387ABA">
            <w:pPr>
              <w:spacing w:before="120"/>
              <w:ind w:firstLine="284"/>
              <w:jc w:val="both"/>
              <w:rPr>
                <w:rFonts w:ascii="Times New Roman" w:hAnsi="Times New Roman"/>
                <w:i/>
                <w:color w:val="000000" w:themeColor="text1"/>
                <w:sz w:val="26"/>
                <w:szCs w:val="26"/>
                <w:lang w:eastAsia="vi-VN"/>
              </w:rPr>
            </w:pPr>
            <w:r w:rsidRPr="00387ABA">
              <w:rPr>
                <w:rFonts w:ascii="Times New Roman" w:hAnsi="Times New Roman"/>
                <w:i/>
                <w:color w:val="000000" w:themeColor="text1"/>
                <w:sz w:val="26"/>
                <w:szCs w:val="26"/>
                <w:lang w:eastAsia="vi-VN"/>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p>
          <w:p w:rsidR="00071BFC" w:rsidRPr="00387ABA" w:rsidRDefault="00071BFC" w:rsidP="00387ABA">
            <w:pPr>
              <w:shd w:val="clear" w:color="auto" w:fill="FFFFFF"/>
              <w:spacing w:before="120"/>
              <w:ind w:firstLine="284"/>
              <w:jc w:val="both"/>
              <w:rPr>
                <w:rFonts w:ascii="Times New Roman" w:eastAsia="Times New Roman" w:hAnsi="Times New Roman"/>
                <w:color w:val="000000" w:themeColor="text1"/>
                <w:sz w:val="26"/>
                <w:szCs w:val="26"/>
                <w:lang w:eastAsia="vi-VN"/>
              </w:rPr>
            </w:pPr>
            <w:r w:rsidRPr="00387ABA">
              <w:rPr>
                <w:rFonts w:ascii="Times New Roman" w:eastAsia="Times New Roman" w:hAnsi="Times New Roman"/>
                <w:color w:val="000000" w:themeColor="text1"/>
                <w:sz w:val="26"/>
                <w:szCs w:val="26"/>
                <w:lang w:eastAsia="vi-VN"/>
              </w:rPr>
              <w:t>- Theo quy định tại Điều 14 Nghị định số 71/2024/NĐ-CP được sửa đổi bổ sung tại khoản 9 Điều 1 Nghị định số 226/2025/NĐ-CP như sau:</w:t>
            </w:r>
          </w:p>
          <w:p w:rsidR="00071BFC" w:rsidRPr="00387ABA" w:rsidRDefault="00071BFC" w:rsidP="00387ABA">
            <w:pPr>
              <w:pStyle w:val="NormalWeb"/>
              <w:shd w:val="clear" w:color="auto" w:fill="FFFFFF"/>
              <w:spacing w:before="120" w:beforeAutospacing="0" w:after="0" w:afterAutospacing="0"/>
              <w:ind w:firstLine="284"/>
              <w:jc w:val="both"/>
              <w:rPr>
                <w:b/>
                <w:i/>
                <w:color w:val="000000" w:themeColor="text1"/>
                <w:sz w:val="26"/>
                <w:szCs w:val="26"/>
                <w:lang w:eastAsia="vi-VN"/>
              </w:rPr>
            </w:pPr>
            <w:r w:rsidRPr="00387ABA">
              <w:rPr>
                <w:i/>
                <w:color w:val="000000" w:themeColor="text1"/>
                <w:sz w:val="26"/>
                <w:szCs w:val="26"/>
                <w:lang w:eastAsia="vi-VN"/>
              </w:rPr>
              <w:t>“</w:t>
            </w:r>
            <w:bookmarkEnd w:id="1"/>
            <w:r w:rsidRPr="00387ABA">
              <w:rPr>
                <w:i/>
                <w:color w:val="000000" w:themeColor="text1"/>
                <w:sz w:val="26"/>
                <w:szCs w:val="26"/>
                <w:lang w:eastAsia="vi-VN"/>
              </w:rPr>
              <w:t xml:space="preserve"> </w:t>
            </w:r>
            <w:bookmarkStart w:id="3" w:name="dieu_14"/>
            <w:r w:rsidRPr="00387ABA">
              <w:rPr>
                <w:b/>
                <w:i/>
                <w:color w:val="000000" w:themeColor="text1"/>
                <w:sz w:val="26"/>
                <w:szCs w:val="26"/>
                <w:lang w:eastAsia="vi-VN"/>
              </w:rPr>
              <w:t>Điều 14. Trình tự, thủ tục xây dựng bảng giá đất</w:t>
            </w:r>
            <w:bookmarkEnd w:id="3"/>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lastRenderedPageBreak/>
              <w:t>Việc xây dựng bảng giá đất lần đầu để công bố và áp dụng từ ngày 01 tháng 01 năm 2026 thực hiện như sau:</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1. Tổ chức thực hiện định giá đất tiến hành xây dựng bảng giá đất như sau:</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a) Điều tra, khảo sát, thu thập thông tin phục vụ việc xây dựng bảng giá đất theo khu vực, vị trí; việc xây dựng bảng giá đất đến từng thửa đất trên cơ sở vùng giá trị, thửa đất chuẩn;</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b) Xác định loại đất, khu vực, vị trí đất tại từng xã, phường, </w:t>
            </w:r>
            <w:bookmarkStart w:id="4" w:name="cumtu_b_1_14"/>
            <w:r w:rsidRPr="00387ABA">
              <w:rPr>
                <w:i/>
                <w:color w:val="000000" w:themeColor="text1"/>
                <w:sz w:val="26"/>
                <w:szCs w:val="26"/>
                <w:lang w:eastAsia="vi-VN"/>
              </w:rPr>
              <w:t>thị trấn</w:t>
            </w:r>
            <w:bookmarkEnd w:id="4"/>
            <w:r w:rsidRPr="00387ABA">
              <w:rPr>
                <w:i/>
                <w:color w:val="000000" w:themeColor="text1"/>
                <w:sz w:val="26"/>
                <w:szCs w:val="26"/>
                <w:lang w:eastAsia="vi-VN"/>
              </w:rPr>
              <w:t>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c) Tổng hợp, hoàn thiện hồ sơ kết quả điều tra, khảo sát, thu thập thông tin tại cấp xã, </w:t>
            </w:r>
            <w:bookmarkStart w:id="5" w:name="cumtu_c_1_14"/>
            <w:r w:rsidRPr="00387ABA">
              <w:rPr>
                <w:i/>
                <w:color w:val="000000" w:themeColor="text1"/>
                <w:sz w:val="26"/>
                <w:szCs w:val="26"/>
                <w:lang w:eastAsia="vi-VN"/>
              </w:rPr>
              <w:t>cấp huyện</w:t>
            </w:r>
            <w:bookmarkEnd w:id="5"/>
            <w:r w:rsidRPr="00387ABA">
              <w:rPr>
                <w:i/>
                <w:color w:val="000000" w:themeColor="text1"/>
                <w:sz w:val="26"/>
                <w:szCs w:val="26"/>
                <w:lang w:eastAsia="vi-VN"/>
              </w:rPr>
              <w:t>, cấp tỉnh; phân tích, đánh giá kết quả thực hiện bảng giá đất hiện hành đối với việc xây dựng bảng giá đất theo khu vực, vị trí;</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đ) Xây dựng dự thảo bảng giá đất và dự thảo Báo cáo thuyết minh xây dựng bảng giá đất.</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 xml:space="preserve">2. Sở Tài nguyên và Môi trường có trách nhiệm xây dựng dự thảo Tờ trình về việc ban hành bảng giá đất; đăng hồ sơ lấy ý kiến đối với dự thảo bảng giá đất trên trang thông tin điện tử của Ủy ban nhân dân cấp tỉnh, Sở Tài nguyên và Môi trường trong thời gian 30 ngày; lấy </w:t>
            </w:r>
            <w:r w:rsidRPr="00387ABA">
              <w:rPr>
                <w:i/>
                <w:color w:val="000000" w:themeColor="text1"/>
                <w:sz w:val="26"/>
                <w:szCs w:val="26"/>
                <w:lang w:eastAsia="vi-VN"/>
              </w:rPr>
              <w:lastRenderedPageBreak/>
              <w:t>ý kiến bằng văn bản đối với dự thảo bảng giá đất của Ủy ban Mặt trận Tổ quốc Việt Nam cấp tỉnh, các tổ chức thành viên của Mặt trận, cơ quan thuế, tổ chức công chứng nhà nước, tổ chức tư vấn xác định giá đất; tiếp thu, hoàn thiện dự thảo Tờ trình về việc ban hành bảng giá đất; chỉ đạo tổ chức thực hiện định giá đất tiếp thu, giải trình ý kiến góp ý, hoàn thiện dự thảo bảng giá đất và Báo cáo thuyết minh xây dựng bảng giá đất.</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3. Sở Tài nguyên và Môi trường trình Hội đồng thẩm định bảng giá đất hồ sơ trình thẩm định bảng giá đất; Hội đồng thẩm định bảng giá đất thực hiện thẩm định bảng giá đất và gửi văn bản thẩm định bảng giá đất về Sở Tài nguyên và Môi trường.</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r w:rsidRPr="00387ABA">
              <w:rPr>
                <w:i/>
                <w:color w:val="000000" w:themeColor="text1"/>
                <w:sz w:val="26"/>
                <w:szCs w:val="26"/>
                <w:lang w:eastAsia="vi-VN"/>
              </w:rPr>
              <w:t>4. Sở Tài nguyên và Môi trường tổ chức thực hiện tiếp thu, giải trình, chỉnh sửa và hoàn thiện dự thảo bảng giá đất theo ý kiến của Hội đồng thẩm định bảng giá đất; trình Ủy ban nhân dân cấp tỉnh.</w:t>
            </w:r>
          </w:p>
          <w:p w:rsidR="00071BFC" w:rsidRPr="00387ABA" w:rsidRDefault="00071BFC" w:rsidP="00387ABA">
            <w:pPr>
              <w:pStyle w:val="NormalWeb"/>
              <w:shd w:val="clear" w:color="auto" w:fill="FFFFFF"/>
              <w:spacing w:before="120" w:beforeAutospacing="0" w:after="0" w:afterAutospacing="0"/>
              <w:ind w:firstLine="284"/>
              <w:jc w:val="both"/>
              <w:rPr>
                <w:i/>
                <w:color w:val="000000" w:themeColor="text1"/>
                <w:sz w:val="26"/>
                <w:szCs w:val="26"/>
                <w:lang w:eastAsia="vi-VN"/>
              </w:rPr>
            </w:pPr>
            <w:bookmarkStart w:id="6" w:name="khoan_5_14"/>
            <w:r w:rsidRPr="00387ABA">
              <w:rPr>
                <w:i/>
                <w:color w:val="000000" w:themeColor="text1"/>
                <w:sz w:val="26"/>
                <w:szCs w:val="26"/>
                <w:lang w:eastAsia="vi-VN"/>
              </w:rPr>
              <w:t>5. Ủy ban nhân dân cấp tỉnh trình Hội đồng nhân dân cùng cấp quyết định bảng giá đất, công bố công khai và chỉ đạo cập nhật vào cơ sở dữ liệu quốc gia về đất đai.</w:t>
            </w:r>
            <w:bookmarkEnd w:id="6"/>
          </w:p>
          <w:p w:rsidR="003B1D03" w:rsidRPr="00387ABA" w:rsidRDefault="00071BFC" w:rsidP="00387ABA">
            <w:pPr>
              <w:shd w:val="clear" w:color="auto" w:fill="FFFFFF"/>
              <w:spacing w:before="120"/>
              <w:ind w:firstLine="284"/>
              <w:jc w:val="both"/>
              <w:rPr>
                <w:rFonts w:ascii="Times New Roman" w:eastAsia="Times New Roman" w:hAnsi="Times New Roman"/>
                <w:i/>
                <w:color w:val="000000" w:themeColor="text1"/>
                <w:sz w:val="26"/>
                <w:szCs w:val="26"/>
                <w:lang w:eastAsia="vi-VN"/>
              </w:rPr>
            </w:pPr>
            <w:r w:rsidRPr="00387ABA">
              <w:rPr>
                <w:rFonts w:ascii="Times New Roman" w:eastAsia="Times New Roman" w:hAnsi="Times New Roman"/>
                <w:i/>
                <w:color w:val="000000" w:themeColor="text1"/>
                <w:sz w:val="26"/>
                <w:szCs w:val="26"/>
                <w:lang w:eastAsia="vi-VN"/>
              </w:rPr>
              <w:t>6. Trong thời hạn không quá 15 ngày kể từ ngày quyết định ban hành bảng giá đất; quyết định điều chỉnh, sửa đổi, bổ sung bảng giá đất, Ủy ban nhân dân cấp tỉnh gửi kết quả về Bộ Nông nghiệp và Môi trường theo Mẫu số 28 của Phụ lục II ban hành kèm theo Nghị định số 151/2025/NĐ-CP ngày 12 tháng 6 năm 2025 của Chính phủ quy định về phân định thẩm quyền của chính quyền địa phương 02 cấp, phân quyền, phân cấp trong lĩnh vực đất đai”</w:t>
            </w:r>
          </w:p>
        </w:tc>
        <w:tc>
          <w:tcPr>
            <w:tcW w:w="1559" w:type="dxa"/>
          </w:tcPr>
          <w:p w:rsidR="003B1D03" w:rsidRPr="00071BFC" w:rsidRDefault="00F50F69" w:rsidP="00F50F69">
            <w:pPr>
              <w:spacing w:before="120"/>
              <w:jc w:val="both"/>
              <w:rPr>
                <w:rFonts w:ascii="Times New Roman" w:hAnsi="Times New Roman" w:cs="Times New Roman"/>
                <w:sz w:val="26"/>
                <w:szCs w:val="26"/>
              </w:rPr>
            </w:pPr>
            <w:r w:rsidRPr="00071BFC">
              <w:rPr>
                <w:rFonts w:ascii="Times New Roman" w:hAnsi="Times New Roman" w:cs="Times New Roman"/>
                <w:sz w:val="26"/>
                <w:szCs w:val="26"/>
              </w:rPr>
              <w:lastRenderedPageBreak/>
              <w:t>Đảm bảo tính hợp hiến, tính hợp pháp, tính thống nhất</w:t>
            </w:r>
          </w:p>
        </w:tc>
        <w:tc>
          <w:tcPr>
            <w:tcW w:w="1700" w:type="dxa"/>
          </w:tcPr>
          <w:p w:rsidR="00071BFC" w:rsidRPr="00071BFC" w:rsidRDefault="00F50F69" w:rsidP="00071BFC">
            <w:pPr>
              <w:jc w:val="both"/>
              <w:rPr>
                <w:rFonts w:ascii="Times New Roman" w:eastAsia="Times New Roman" w:hAnsi="Times New Roman"/>
                <w:color w:val="000000" w:themeColor="text1"/>
                <w:sz w:val="26"/>
                <w:szCs w:val="26"/>
                <w:lang w:eastAsia="vi-VN"/>
              </w:rPr>
            </w:pPr>
            <w:r w:rsidRPr="00071BFC">
              <w:rPr>
                <w:rFonts w:ascii="Times New Roman" w:hAnsi="Times New Roman" w:cs="Times New Roman"/>
                <w:sz w:val="26"/>
                <w:szCs w:val="26"/>
              </w:rPr>
              <w:t xml:space="preserve">Ban hành </w:t>
            </w:r>
            <w:r w:rsidR="00071BFC" w:rsidRPr="00071BFC">
              <w:rPr>
                <w:rFonts w:ascii="Times New Roman" w:eastAsia="Times New Roman" w:hAnsi="Times New Roman"/>
                <w:color w:val="000000" w:themeColor="text1"/>
                <w:sz w:val="26"/>
                <w:szCs w:val="26"/>
                <w:lang w:eastAsia="vi-VN"/>
              </w:rPr>
              <w:t xml:space="preserve">Nghị quyết Bảng giá đất áp dụng từ ngày 01 tháng 01 năm 2026 trên địa bàn </w:t>
            </w:r>
          </w:p>
          <w:p w:rsidR="00071BFC" w:rsidRPr="00071BFC" w:rsidRDefault="00071BFC" w:rsidP="00071BFC">
            <w:pPr>
              <w:jc w:val="both"/>
              <w:rPr>
                <w:rFonts w:ascii="Times New Roman" w:eastAsia="Times New Roman" w:hAnsi="Times New Roman"/>
                <w:color w:val="000000" w:themeColor="text1"/>
                <w:sz w:val="26"/>
                <w:szCs w:val="26"/>
                <w:lang w:eastAsia="vi-VN"/>
              </w:rPr>
            </w:pPr>
            <w:r w:rsidRPr="00071BFC">
              <w:rPr>
                <w:rFonts w:ascii="Times New Roman" w:eastAsia="Times New Roman" w:hAnsi="Times New Roman"/>
                <w:color w:val="000000" w:themeColor="text1"/>
                <w:sz w:val="26"/>
                <w:szCs w:val="26"/>
                <w:lang w:eastAsia="vi-VN"/>
              </w:rPr>
              <w:t>thành phố Đà Nẵng (đối với địa bàn thành phố Đà Nẵng cũ)</w:t>
            </w:r>
          </w:p>
          <w:p w:rsidR="003B1D03" w:rsidRPr="00071BFC" w:rsidRDefault="003B1D03" w:rsidP="00071BFC">
            <w:pPr>
              <w:spacing w:before="120"/>
              <w:jc w:val="both"/>
              <w:rPr>
                <w:rFonts w:ascii="Times New Roman" w:hAnsi="Times New Roman" w:cs="Times New Roman"/>
                <w:sz w:val="26"/>
                <w:szCs w:val="26"/>
              </w:rPr>
            </w:pPr>
          </w:p>
        </w:tc>
      </w:tr>
    </w:tbl>
    <w:p w:rsidR="002C72B2" w:rsidRPr="002C72B2" w:rsidRDefault="000F0FFC" w:rsidP="002C72B2">
      <w:pPr>
        <w:spacing w:before="120" w:after="0" w:line="240" w:lineRule="auto"/>
        <w:ind w:firstLine="720"/>
        <w:rPr>
          <w:rFonts w:ascii="Times New Roman" w:hAnsi="Times New Roman" w:cs="Times New Roman"/>
          <w:sz w:val="28"/>
          <w:szCs w:val="28"/>
        </w:rPr>
      </w:pPr>
      <w:r w:rsidRPr="000F0FFC">
        <w:rPr>
          <w:rFonts w:ascii="Times New Roman" w:hAnsi="Times New Roman" w:cs="Times New Roman"/>
          <w:b/>
          <w:sz w:val="28"/>
          <w:szCs w:val="28"/>
        </w:rPr>
        <w:lastRenderedPageBreak/>
        <w:t>3. Điều ước quốc tế có liên quan đến dự thảo:</w:t>
      </w:r>
      <w:r>
        <w:rPr>
          <w:rFonts w:ascii="Times New Roman" w:hAnsi="Times New Roman" w:cs="Times New Roman"/>
          <w:sz w:val="28"/>
          <w:szCs w:val="28"/>
        </w:rPr>
        <w:t xml:space="preserve"> Không</w:t>
      </w:r>
    </w:p>
    <w:sectPr w:rsidR="002C72B2" w:rsidRPr="002C72B2" w:rsidSect="00EB4F6F">
      <w:headerReference w:type="default" r:id="rId7"/>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545" w:rsidRDefault="00BB5545" w:rsidP="000F0FFC">
      <w:pPr>
        <w:spacing w:after="0" w:line="240" w:lineRule="auto"/>
      </w:pPr>
      <w:r>
        <w:separator/>
      </w:r>
    </w:p>
  </w:endnote>
  <w:endnote w:type="continuationSeparator" w:id="0">
    <w:p w:rsidR="00BB5545" w:rsidRDefault="00BB5545" w:rsidP="000F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545" w:rsidRDefault="00BB5545" w:rsidP="000F0FFC">
      <w:pPr>
        <w:spacing w:after="0" w:line="240" w:lineRule="auto"/>
      </w:pPr>
      <w:r>
        <w:separator/>
      </w:r>
    </w:p>
  </w:footnote>
  <w:footnote w:type="continuationSeparator" w:id="0">
    <w:p w:rsidR="00BB5545" w:rsidRDefault="00BB5545" w:rsidP="000F0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043052"/>
      <w:docPartObj>
        <w:docPartGallery w:val="Page Numbers (Top of Page)"/>
        <w:docPartUnique/>
      </w:docPartObj>
    </w:sdtPr>
    <w:sdtEndPr>
      <w:rPr>
        <w:rFonts w:ascii="Times New Roman" w:hAnsi="Times New Roman" w:cs="Times New Roman"/>
        <w:noProof/>
      </w:rPr>
    </w:sdtEndPr>
    <w:sdtContent>
      <w:p w:rsidR="000F0FFC" w:rsidRPr="004F271F" w:rsidRDefault="000F0FFC">
        <w:pPr>
          <w:pStyle w:val="Header"/>
          <w:jc w:val="center"/>
          <w:rPr>
            <w:rFonts w:ascii="Times New Roman" w:hAnsi="Times New Roman" w:cs="Times New Roman"/>
          </w:rPr>
        </w:pPr>
        <w:r w:rsidRPr="004F271F">
          <w:rPr>
            <w:rFonts w:ascii="Times New Roman" w:hAnsi="Times New Roman" w:cs="Times New Roman"/>
          </w:rPr>
          <w:fldChar w:fldCharType="begin"/>
        </w:r>
        <w:r w:rsidRPr="004F271F">
          <w:rPr>
            <w:rFonts w:ascii="Times New Roman" w:hAnsi="Times New Roman" w:cs="Times New Roman"/>
          </w:rPr>
          <w:instrText xml:space="preserve"> PAGE   \* MERGEFORMAT </w:instrText>
        </w:r>
        <w:r w:rsidRPr="004F271F">
          <w:rPr>
            <w:rFonts w:ascii="Times New Roman" w:hAnsi="Times New Roman" w:cs="Times New Roman"/>
          </w:rPr>
          <w:fldChar w:fldCharType="separate"/>
        </w:r>
        <w:r w:rsidR="00523A43">
          <w:rPr>
            <w:rFonts w:ascii="Times New Roman" w:hAnsi="Times New Roman" w:cs="Times New Roman"/>
            <w:noProof/>
          </w:rPr>
          <w:t>3</w:t>
        </w:r>
        <w:r w:rsidRPr="004F271F">
          <w:rPr>
            <w:rFonts w:ascii="Times New Roman" w:hAnsi="Times New Roman" w:cs="Times New Roman"/>
            <w:noProof/>
          </w:rPr>
          <w:fldChar w:fldCharType="end"/>
        </w:r>
      </w:p>
    </w:sdtContent>
  </w:sdt>
  <w:p w:rsidR="000F0FFC" w:rsidRDefault="000F0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3C"/>
    <w:rsid w:val="00071BFC"/>
    <w:rsid w:val="000F0FFC"/>
    <w:rsid w:val="00137B3B"/>
    <w:rsid w:val="002C72B2"/>
    <w:rsid w:val="00387ABA"/>
    <w:rsid w:val="003B1D03"/>
    <w:rsid w:val="004D14B6"/>
    <w:rsid w:val="004F271F"/>
    <w:rsid w:val="00523A43"/>
    <w:rsid w:val="00544EB3"/>
    <w:rsid w:val="005E6F48"/>
    <w:rsid w:val="00604C13"/>
    <w:rsid w:val="006F10B8"/>
    <w:rsid w:val="007533AF"/>
    <w:rsid w:val="0087109E"/>
    <w:rsid w:val="00A23B3C"/>
    <w:rsid w:val="00BB0D4D"/>
    <w:rsid w:val="00BB5545"/>
    <w:rsid w:val="00CB1536"/>
    <w:rsid w:val="00EB4F6F"/>
    <w:rsid w:val="00F5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B5DB5-8A42-4CB2-BF12-4E2C0A51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2B2"/>
    <w:pPr>
      <w:ind w:left="720"/>
      <w:contextualSpacing/>
    </w:pPr>
  </w:style>
  <w:style w:type="table" w:styleId="TableGrid">
    <w:name w:val="Table Grid"/>
    <w:basedOn w:val="TableNormal"/>
    <w:uiPriority w:val="39"/>
    <w:rsid w:val="003B1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FC"/>
  </w:style>
  <w:style w:type="paragraph" w:styleId="Footer">
    <w:name w:val="footer"/>
    <w:basedOn w:val="Normal"/>
    <w:link w:val="FooterChar"/>
    <w:uiPriority w:val="99"/>
    <w:unhideWhenUsed/>
    <w:rsid w:val="000F0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FC"/>
  </w:style>
  <w:style w:type="paragraph" w:styleId="BalloonText">
    <w:name w:val="Balloon Text"/>
    <w:basedOn w:val="Normal"/>
    <w:link w:val="BalloonTextChar"/>
    <w:uiPriority w:val="99"/>
    <w:semiHidden/>
    <w:unhideWhenUsed/>
    <w:rsid w:val="00EB4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F6F"/>
    <w:rPr>
      <w:rFonts w:ascii="Segoe UI" w:hAnsi="Segoe UI" w:cs="Segoe UI"/>
      <w:sz w:val="18"/>
      <w:szCs w:val="18"/>
    </w:rPr>
  </w:style>
  <w:style w:type="paragraph" w:styleId="NormalWeb">
    <w:name w:val="Normal (Web)"/>
    <w:basedOn w:val="Normal"/>
    <w:uiPriority w:val="99"/>
    <w:unhideWhenUsed/>
    <w:rsid w:val="00071B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CB56-4CF3-4736-93A0-9D7D8914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2025-10-24T01:02:00Z</cp:lastPrinted>
  <dcterms:created xsi:type="dcterms:W3CDTF">2025-11-03T08:17:00Z</dcterms:created>
  <dcterms:modified xsi:type="dcterms:W3CDTF">2025-11-03T08:17:00Z</dcterms:modified>
</cp:coreProperties>
</file>